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82" w:rsidRDefault="00212F82" w:rsidP="00212F82">
      <w:pPr>
        <w:spacing w:after="0"/>
        <w:rPr>
          <w:b/>
          <w:i/>
          <w:iCs/>
        </w:rPr>
      </w:pPr>
      <w:r>
        <w:rPr>
          <w:b/>
          <w:i/>
          <w:iCs/>
        </w:rPr>
        <w:t xml:space="preserve">Результаты исследования  уровня </w:t>
      </w:r>
      <w:proofErr w:type="spellStart"/>
      <w:r>
        <w:rPr>
          <w:b/>
          <w:i/>
          <w:iCs/>
        </w:rPr>
        <w:t>адаптированности</w:t>
      </w:r>
      <w:proofErr w:type="spellEnd"/>
      <w:r>
        <w:rPr>
          <w:b/>
          <w:i/>
          <w:iCs/>
        </w:rPr>
        <w:t xml:space="preserve">  к новым школьным условиям, школьной мотивации, школьной тревожности  учащихся 5-х классов   МОУ </w:t>
      </w:r>
      <w:proofErr w:type="spellStart"/>
      <w:r>
        <w:rPr>
          <w:b/>
          <w:i/>
          <w:iCs/>
        </w:rPr>
        <w:t>Большемурашкинской</w:t>
      </w:r>
      <w:proofErr w:type="spellEnd"/>
      <w:r>
        <w:rPr>
          <w:b/>
          <w:i/>
          <w:iCs/>
        </w:rPr>
        <w:t xml:space="preserve"> СОШ</w:t>
      </w:r>
    </w:p>
    <w:p w:rsidR="00212F82" w:rsidRDefault="00212F82" w:rsidP="00212F82">
      <w:pPr>
        <w:spacing w:after="0"/>
        <w:rPr>
          <w:i/>
        </w:rPr>
      </w:pPr>
      <w:r>
        <w:rPr>
          <w:i/>
        </w:rPr>
        <w:t xml:space="preserve">Цель: выявление уровня </w:t>
      </w:r>
      <w:proofErr w:type="spellStart"/>
      <w:r>
        <w:rPr>
          <w:i/>
        </w:rPr>
        <w:t>адаптированности</w:t>
      </w:r>
      <w:proofErr w:type="spellEnd"/>
      <w:r>
        <w:rPr>
          <w:i/>
        </w:rPr>
        <w:t xml:space="preserve"> к новым школьным условиям,            </w:t>
      </w:r>
      <w:proofErr w:type="spellStart"/>
      <w:r>
        <w:rPr>
          <w:i/>
        </w:rPr>
        <w:t>сформированности</w:t>
      </w:r>
      <w:proofErr w:type="spellEnd"/>
      <w:r>
        <w:rPr>
          <w:i/>
        </w:rPr>
        <w:t xml:space="preserve"> школьной мотивации, школьной тревожности у учащихся 5-  классов МОУ БСОШ</w:t>
      </w:r>
    </w:p>
    <w:p w:rsidR="00212F82" w:rsidRDefault="00212F82" w:rsidP="00212F82">
      <w:pPr>
        <w:pStyle w:val="2"/>
        <w:spacing w:after="0" w:line="240" w:lineRule="auto"/>
      </w:pPr>
      <w:r>
        <w:t>Исследование проводилось в  октябре 2012  года по  тестам «</w:t>
      </w:r>
      <w:proofErr w:type="spellStart"/>
      <w:r>
        <w:rPr>
          <w:bCs/>
        </w:rPr>
        <w:t>Адаптированность</w:t>
      </w:r>
      <w:proofErr w:type="spellEnd"/>
      <w:r>
        <w:rPr>
          <w:bCs/>
        </w:rPr>
        <w:t xml:space="preserve">  к новым школьным условиям», «Школьная мотивация», «Школьная тревожность». </w:t>
      </w:r>
    </w:p>
    <w:p w:rsidR="00212F82" w:rsidRDefault="00212F82" w:rsidP="00212F82">
      <w:pPr>
        <w:spacing w:after="0"/>
      </w:pPr>
      <w:r>
        <w:t>Исследование проводилось в 5А, 5Б, 5В  классах.</w:t>
      </w:r>
    </w:p>
    <w:p w:rsidR="00212F82" w:rsidRDefault="00212F82" w:rsidP="00212F82">
      <w:pPr>
        <w:spacing w:after="0"/>
      </w:pPr>
      <w:r>
        <w:t>Диагност: педагог- психолог  Краева И.Н.</w:t>
      </w:r>
    </w:p>
    <w:p w:rsidR="00212F82" w:rsidRDefault="00212F82" w:rsidP="00212F82">
      <w:pPr>
        <w:spacing w:after="0"/>
      </w:pPr>
      <w:r>
        <w:t>Результаты исследования доведены в октябре до классных руководителей 5-х классов и учителей, работающих в 5-х классах.</w:t>
      </w:r>
    </w:p>
    <w:p w:rsidR="00212F82" w:rsidRDefault="00212F82" w:rsidP="00212F82">
      <w:pPr>
        <w:spacing w:after="0"/>
      </w:pPr>
      <w:r>
        <w:t xml:space="preserve">На эту тему было проведено совещание при заместителе директора по УВР </w:t>
      </w:r>
    </w:p>
    <w:p w:rsidR="00212F82" w:rsidRDefault="00212F82" w:rsidP="00212F82">
      <w:pPr>
        <w:spacing w:after="0"/>
      </w:pPr>
      <w:r>
        <w:t>Вороновой И.П.  16  ноября 2012 г.</w:t>
      </w:r>
    </w:p>
    <w:p w:rsidR="00212F82" w:rsidRDefault="00212F82" w:rsidP="00212F82">
      <w:pPr>
        <w:pStyle w:val="a3"/>
        <w:tabs>
          <w:tab w:val="left" w:pos="1890"/>
        </w:tabs>
        <w:rPr>
          <w:sz w:val="24"/>
        </w:rPr>
      </w:pPr>
      <w:r>
        <w:rPr>
          <w:sz w:val="24"/>
        </w:rPr>
        <w:tab/>
      </w:r>
    </w:p>
    <w:p w:rsidR="00212F82" w:rsidRDefault="00212F82" w:rsidP="00212F8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Результаты   </w:t>
      </w:r>
      <w:proofErr w:type="spellStart"/>
      <w:r>
        <w:rPr>
          <w:sz w:val="28"/>
          <w:szCs w:val="28"/>
        </w:rPr>
        <w:t>адаптированности</w:t>
      </w:r>
      <w:proofErr w:type="spellEnd"/>
      <w:r>
        <w:rPr>
          <w:sz w:val="28"/>
          <w:szCs w:val="28"/>
        </w:rPr>
        <w:t xml:space="preserve"> учащихся  5-х  классов к новым школьным условиям                   </w:t>
      </w:r>
      <w:r>
        <w:rPr>
          <w:b w:val="0"/>
          <w:bCs w:val="0"/>
          <w:i w:val="0"/>
          <w:iCs w:val="0"/>
          <w:sz w:val="28"/>
          <w:szCs w:val="28"/>
        </w:rPr>
        <w:t>2012  – 2013    учебный  год</w:t>
      </w:r>
    </w:p>
    <w:p w:rsidR="00212F82" w:rsidRDefault="00212F82" w:rsidP="00212F82">
      <w:pPr>
        <w:rPr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drawing>
          <wp:inline distT="0" distB="0" distL="0" distR="0">
            <wp:extent cx="5679440" cy="169164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12F82" w:rsidRDefault="00212F82" w:rsidP="00212F82">
      <w:pPr>
        <w:spacing w:after="0"/>
        <w:rPr>
          <w:b/>
          <w:bCs/>
        </w:rPr>
      </w:pPr>
      <w:r>
        <w:rPr>
          <w:b/>
          <w:bCs/>
        </w:rPr>
        <w:t>Отличный уровень</w:t>
      </w:r>
      <w:r>
        <w:t xml:space="preserve"> </w:t>
      </w:r>
      <w:proofErr w:type="spellStart"/>
      <w:r>
        <w:t>адаптированности</w:t>
      </w:r>
      <w:proofErr w:type="spellEnd"/>
      <w:r>
        <w:t xml:space="preserve"> к новым школьным условиям </w:t>
      </w:r>
      <w:r>
        <w:rPr>
          <w:b/>
          <w:bCs/>
        </w:rPr>
        <w:t xml:space="preserve">у  21 учащегося  </w:t>
      </w:r>
    </w:p>
    <w:p w:rsidR="00212F82" w:rsidRDefault="00212F82" w:rsidP="00212F82">
      <w:pPr>
        <w:spacing w:after="0"/>
        <w:rPr>
          <w:b/>
          <w:bCs/>
        </w:rPr>
      </w:pPr>
      <w:r>
        <w:rPr>
          <w:b/>
          <w:bCs/>
        </w:rPr>
        <w:t>(</w:t>
      </w:r>
      <w:r>
        <w:rPr>
          <w:bCs/>
        </w:rPr>
        <w:t>53  %  всех пятиклассников</w:t>
      </w:r>
      <w:r>
        <w:rPr>
          <w:b/>
          <w:bCs/>
        </w:rPr>
        <w:t>).</w:t>
      </w:r>
    </w:p>
    <w:p w:rsidR="00212F82" w:rsidRDefault="00212F82" w:rsidP="00212F82">
      <w:pPr>
        <w:spacing w:after="0"/>
        <w:rPr>
          <w:b/>
          <w:bCs/>
        </w:rPr>
      </w:pPr>
      <w:r>
        <w:rPr>
          <w:b/>
          <w:bCs/>
        </w:rPr>
        <w:t>Хороший уровень</w:t>
      </w:r>
      <w:r>
        <w:t xml:space="preserve"> </w:t>
      </w:r>
      <w:proofErr w:type="spellStart"/>
      <w:r>
        <w:t>адаптированности</w:t>
      </w:r>
      <w:proofErr w:type="spellEnd"/>
      <w:r>
        <w:t xml:space="preserve"> – у   14   </w:t>
      </w:r>
      <w:r>
        <w:rPr>
          <w:b/>
          <w:bCs/>
        </w:rPr>
        <w:t>учащихся (35  %).</w:t>
      </w:r>
    </w:p>
    <w:p w:rsidR="00212F82" w:rsidRPr="00212F82" w:rsidRDefault="00212F82" w:rsidP="00212F82">
      <w:pPr>
        <w:spacing w:after="0"/>
      </w:pPr>
      <w:r>
        <w:t xml:space="preserve">Адаптированы, но </w:t>
      </w:r>
      <w:r>
        <w:rPr>
          <w:b/>
          <w:bCs/>
        </w:rPr>
        <w:t>есть незначительные проблемы</w:t>
      </w:r>
      <w:r>
        <w:t xml:space="preserve"> в новых школьных условиях, 3 </w:t>
      </w:r>
      <w:r w:rsidR="001511E9">
        <w:rPr>
          <w:b/>
          <w:bCs/>
        </w:rPr>
        <w:t xml:space="preserve"> учащихся (7 </w:t>
      </w:r>
      <w:r>
        <w:rPr>
          <w:b/>
          <w:bCs/>
        </w:rPr>
        <w:t>%).</w:t>
      </w:r>
      <w:r>
        <w:t xml:space="preserve">  </w:t>
      </w:r>
    </w:p>
    <w:p w:rsidR="00212F82" w:rsidRDefault="00212F82" w:rsidP="00212F82">
      <w:pPr>
        <w:spacing w:after="0"/>
        <w:rPr>
          <w:bCs/>
        </w:rPr>
      </w:pPr>
      <w:r>
        <w:t xml:space="preserve">Есть </w:t>
      </w:r>
      <w:r>
        <w:rPr>
          <w:b/>
          <w:bCs/>
        </w:rPr>
        <w:t>значительные проблемы</w:t>
      </w:r>
      <w:r>
        <w:t xml:space="preserve"> в отношениях с одноклассниками и учителями </w:t>
      </w:r>
      <w:r>
        <w:rPr>
          <w:b/>
          <w:bCs/>
        </w:rPr>
        <w:t>у  2 учащихся (5  %).</w:t>
      </w:r>
      <w:r>
        <w:rPr>
          <w:bCs/>
        </w:rPr>
        <w:t xml:space="preserve">    </w:t>
      </w:r>
    </w:p>
    <w:p w:rsidR="00212F82" w:rsidRDefault="00212F82" w:rsidP="00212F82">
      <w:pPr>
        <w:spacing w:after="0"/>
        <w:rPr>
          <w:b/>
          <w:bCs/>
        </w:rPr>
      </w:pPr>
      <w:r>
        <w:rPr>
          <w:bCs/>
        </w:rPr>
        <w:t>Не  выявлено среди  учащихся 5-х классов</w:t>
      </w:r>
      <w:r>
        <w:rPr>
          <w:b/>
          <w:bCs/>
        </w:rPr>
        <w:t xml:space="preserve"> учеников не адаптированных и плохо адаптированных к новым школьным условиям.</w:t>
      </w:r>
    </w:p>
    <w:p w:rsidR="00212F82" w:rsidRDefault="00212F82" w:rsidP="00212F82">
      <w:pPr>
        <w:spacing w:after="0"/>
      </w:pPr>
    </w:p>
    <w:p w:rsidR="00212F82" w:rsidRDefault="00212F82" w:rsidP="00212F8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Результаты   </w:t>
      </w:r>
      <w:proofErr w:type="spellStart"/>
      <w:r>
        <w:rPr>
          <w:b/>
          <w:i/>
          <w:sz w:val="28"/>
          <w:szCs w:val="28"/>
        </w:rPr>
        <w:t>адаптированности</w:t>
      </w:r>
      <w:proofErr w:type="spellEnd"/>
      <w:r>
        <w:rPr>
          <w:b/>
          <w:i/>
          <w:sz w:val="28"/>
          <w:szCs w:val="28"/>
        </w:rPr>
        <w:t xml:space="preserve">   учащихся   по классам</w:t>
      </w:r>
    </w:p>
    <w:p w:rsidR="00212F82" w:rsidRPr="00DA576A" w:rsidRDefault="00212F82" w:rsidP="00212F82">
      <w:pPr>
        <w:rPr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37200" cy="1742440"/>
            <wp:effectExtent l="0" t="0" r="635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12F82" w:rsidRDefault="00212F82" w:rsidP="00212F82">
      <w:pPr>
        <w:pStyle w:val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Результаты исследования уровня школьной мотивации учащихся</w:t>
      </w:r>
      <w:r w:rsidR="001511E9">
        <w:rPr>
          <w:b/>
          <w:i/>
          <w:sz w:val="28"/>
          <w:szCs w:val="28"/>
        </w:rPr>
        <w:t xml:space="preserve">              5-х</w:t>
      </w:r>
      <w:r>
        <w:rPr>
          <w:b/>
          <w:i/>
          <w:sz w:val="28"/>
          <w:szCs w:val="28"/>
        </w:rPr>
        <w:t xml:space="preserve">   </w:t>
      </w:r>
      <w:r w:rsidR="001511E9">
        <w:rPr>
          <w:b/>
          <w:i/>
          <w:sz w:val="28"/>
          <w:szCs w:val="28"/>
        </w:rPr>
        <w:t xml:space="preserve"> классов          </w:t>
      </w:r>
      <w:r>
        <w:rPr>
          <w:b/>
          <w:i/>
          <w:sz w:val="28"/>
          <w:szCs w:val="28"/>
        </w:rPr>
        <w:t xml:space="preserve">      </w:t>
      </w:r>
      <w:r>
        <w:rPr>
          <w:b/>
          <w:bCs/>
          <w:i/>
          <w:iCs/>
          <w:sz w:val="28"/>
          <w:szCs w:val="28"/>
        </w:rPr>
        <w:t>2012 – 2013   учебный год</w:t>
      </w:r>
    </w:p>
    <w:p w:rsidR="00212F82" w:rsidRDefault="00212F82" w:rsidP="00212F82">
      <w:pPr>
        <w:pStyle w:val="3"/>
        <w:rPr>
          <w:b/>
          <w:bCs/>
          <w:i/>
          <w:i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87720" cy="30480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12F82" w:rsidRDefault="00212F82" w:rsidP="00212F82">
      <w:pPr>
        <w:pStyle w:val="3"/>
        <w:tabs>
          <w:tab w:val="left" w:pos="1280"/>
        </w:tabs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Высокая </w:t>
      </w:r>
      <w:r>
        <w:rPr>
          <w:iCs/>
          <w:sz w:val="24"/>
          <w:szCs w:val="24"/>
        </w:rPr>
        <w:t>школьная мотивация</w:t>
      </w:r>
      <w:r>
        <w:rPr>
          <w:b/>
          <w:bCs/>
          <w:iCs/>
          <w:sz w:val="24"/>
          <w:szCs w:val="24"/>
        </w:rPr>
        <w:t xml:space="preserve"> у  25  учащихся 5-х классов, что составляет</w:t>
      </w:r>
      <w:r>
        <w:rPr>
          <w:iCs/>
          <w:sz w:val="24"/>
          <w:szCs w:val="24"/>
        </w:rPr>
        <w:t xml:space="preserve"> 63 %.</w:t>
      </w:r>
    </w:p>
    <w:p w:rsidR="00212F82" w:rsidRDefault="00212F82" w:rsidP="00212F82">
      <w:pPr>
        <w:pStyle w:val="3"/>
        <w:tabs>
          <w:tab w:val="left" w:pos="1280"/>
        </w:tabs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Хорошая</w:t>
      </w:r>
      <w:r>
        <w:rPr>
          <w:iCs/>
          <w:sz w:val="24"/>
          <w:szCs w:val="24"/>
        </w:rPr>
        <w:t xml:space="preserve"> школьная мотивация</w:t>
      </w:r>
      <w:r>
        <w:rPr>
          <w:b/>
          <w:bCs/>
          <w:iCs/>
          <w:sz w:val="24"/>
          <w:szCs w:val="24"/>
        </w:rPr>
        <w:t xml:space="preserve"> у 12  учащихся 5-х классов, что составляет </w:t>
      </w:r>
      <w:r>
        <w:rPr>
          <w:iCs/>
          <w:sz w:val="24"/>
          <w:szCs w:val="24"/>
        </w:rPr>
        <w:t>30 %.</w:t>
      </w:r>
    </w:p>
    <w:p w:rsidR="00212F82" w:rsidRDefault="00212F82" w:rsidP="00212F82">
      <w:pPr>
        <w:pStyle w:val="3"/>
        <w:tabs>
          <w:tab w:val="left" w:pos="1280"/>
        </w:tabs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Положительно относятся к школе, но </w:t>
      </w:r>
      <w:r>
        <w:rPr>
          <w:iCs/>
          <w:sz w:val="24"/>
          <w:szCs w:val="24"/>
        </w:rPr>
        <w:t xml:space="preserve">школа привлекает лишь внешними сторонами  </w:t>
      </w:r>
      <w:r>
        <w:rPr>
          <w:b/>
          <w:bCs/>
          <w:iCs/>
          <w:sz w:val="24"/>
          <w:szCs w:val="24"/>
        </w:rPr>
        <w:t xml:space="preserve">2  учащихся 5-х классов, что составляет </w:t>
      </w:r>
      <w:r>
        <w:rPr>
          <w:iCs/>
          <w:sz w:val="24"/>
          <w:szCs w:val="24"/>
        </w:rPr>
        <w:t>5  %.</w:t>
      </w:r>
      <w:r>
        <w:rPr>
          <w:b/>
          <w:bCs/>
          <w:iCs/>
          <w:sz w:val="24"/>
          <w:szCs w:val="24"/>
        </w:rPr>
        <w:t xml:space="preserve"> У этих школьников мотивация на познание нового учебного материала выражена слабо. Им просто нравится школьная атрибутика, пребывание  в школе, общение с одноклассниками, учителями.</w:t>
      </w:r>
    </w:p>
    <w:p w:rsidR="001511E9" w:rsidRDefault="00212F82" w:rsidP="001511E9">
      <w:pPr>
        <w:pStyle w:val="2"/>
        <w:spacing w:line="240" w:lineRule="auto"/>
        <w:ind w:left="-142" w:hanging="397"/>
        <w:rPr>
          <w:b/>
          <w:bCs/>
          <w:iCs/>
        </w:rPr>
      </w:pPr>
      <w:r>
        <w:rPr>
          <w:iCs/>
        </w:rPr>
        <w:t xml:space="preserve">        </w:t>
      </w:r>
      <w:r>
        <w:rPr>
          <w:b/>
          <w:iCs/>
        </w:rPr>
        <w:t>Низкая</w:t>
      </w:r>
      <w:r>
        <w:rPr>
          <w:iCs/>
        </w:rPr>
        <w:t xml:space="preserve"> школьная мотивация</w:t>
      </w:r>
      <w:r>
        <w:rPr>
          <w:b/>
          <w:bCs/>
          <w:iCs/>
        </w:rPr>
        <w:t xml:space="preserve"> у  одного  учащегося  пятых классов (</w:t>
      </w:r>
      <w:r>
        <w:rPr>
          <w:iCs/>
        </w:rPr>
        <w:t>2 %</w:t>
      </w:r>
      <w:r>
        <w:rPr>
          <w:b/>
          <w:bCs/>
          <w:iCs/>
        </w:rPr>
        <w:t xml:space="preserve"> учащихся). </w:t>
      </w:r>
    </w:p>
    <w:p w:rsidR="00212F82" w:rsidRDefault="00212F82" w:rsidP="001511E9">
      <w:pPr>
        <w:pStyle w:val="2"/>
        <w:spacing w:line="240" w:lineRule="auto"/>
        <w:ind w:left="-142" w:hanging="397"/>
        <w:rPr>
          <w:bCs/>
          <w:iCs/>
        </w:rPr>
      </w:pPr>
      <w:r>
        <w:rPr>
          <w:bCs/>
          <w:iCs/>
        </w:rPr>
        <w:t>Среди учащихся 5 –</w:t>
      </w:r>
      <w:proofErr w:type="spellStart"/>
      <w:r>
        <w:rPr>
          <w:bCs/>
          <w:iCs/>
        </w:rPr>
        <w:t>х</w:t>
      </w:r>
      <w:proofErr w:type="spellEnd"/>
      <w:r>
        <w:rPr>
          <w:bCs/>
          <w:iCs/>
        </w:rPr>
        <w:t xml:space="preserve">  классов нет </w:t>
      </w:r>
      <w:r>
        <w:rPr>
          <w:b/>
          <w:bCs/>
          <w:iCs/>
        </w:rPr>
        <w:t xml:space="preserve"> учеников, которые негативно относятся к школе. </w:t>
      </w:r>
    </w:p>
    <w:p w:rsidR="00212F82" w:rsidRDefault="00212F82" w:rsidP="00212F82">
      <w:pPr>
        <w:pStyle w:val="3"/>
        <w:tabs>
          <w:tab w:val="left" w:pos="1280"/>
        </w:tabs>
        <w:rPr>
          <w:b/>
          <w:i/>
          <w:sz w:val="28"/>
          <w:szCs w:val="28"/>
        </w:rPr>
      </w:pPr>
    </w:p>
    <w:p w:rsidR="00212F82" w:rsidRDefault="00212F82" w:rsidP="00212F82">
      <w:pPr>
        <w:pStyle w:val="3"/>
        <w:tabs>
          <w:tab w:val="left" w:pos="1280"/>
        </w:tabs>
        <w:ind w:left="454"/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 xml:space="preserve">Результаты уровня  </w:t>
      </w:r>
      <w:proofErr w:type="spellStart"/>
      <w:r>
        <w:rPr>
          <w:b/>
          <w:i/>
          <w:sz w:val="28"/>
          <w:szCs w:val="28"/>
        </w:rPr>
        <w:t>сформированности</w:t>
      </w:r>
      <w:proofErr w:type="spellEnd"/>
      <w:r>
        <w:rPr>
          <w:b/>
          <w:i/>
          <w:sz w:val="28"/>
          <w:szCs w:val="28"/>
        </w:rPr>
        <w:t xml:space="preserve"> школьной мотивации</w:t>
      </w:r>
    </w:p>
    <w:p w:rsidR="00212F82" w:rsidRDefault="00212F82" w:rsidP="00212F82">
      <w:pPr>
        <w:pStyle w:val="3"/>
        <w:tabs>
          <w:tab w:val="left" w:pos="1280"/>
        </w:tabs>
        <w:ind w:left="454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5-м классам</w:t>
      </w:r>
    </w:p>
    <w:p w:rsidR="00212F82" w:rsidRPr="00CC559A" w:rsidRDefault="00212F82" w:rsidP="00CC559A">
      <w:pPr>
        <w:pStyle w:val="3"/>
        <w:tabs>
          <w:tab w:val="left" w:pos="1280"/>
        </w:tabs>
        <w:jc w:val="both"/>
        <w:rPr>
          <w:b/>
          <w:bCs/>
          <w:i/>
          <w:i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65800" cy="253492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86FB6" w:rsidRPr="00DA576A" w:rsidRDefault="00086FB6">
      <w:pPr>
        <w:rPr>
          <w:sz w:val="28"/>
          <w:szCs w:val="28"/>
        </w:rPr>
      </w:pPr>
    </w:p>
    <w:sectPr w:rsidR="00086FB6" w:rsidRPr="00DA576A" w:rsidSect="00C31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212F82"/>
    <w:rsid w:val="00086FB6"/>
    <w:rsid w:val="001511E9"/>
    <w:rsid w:val="00212F82"/>
    <w:rsid w:val="005C0CE6"/>
    <w:rsid w:val="005D4DBE"/>
    <w:rsid w:val="00C31E02"/>
    <w:rsid w:val="00CC559A"/>
    <w:rsid w:val="00DA5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12F82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36"/>
      <w:szCs w:val="24"/>
    </w:rPr>
  </w:style>
  <w:style w:type="character" w:customStyle="1" w:styleId="a4">
    <w:name w:val="Основной текст Знак"/>
    <w:basedOn w:val="a0"/>
    <w:link w:val="a3"/>
    <w:semiHidden/>
    <w:rsid w:val="00212F82"/>
    <w:rPr>
      <w:rFonts w:ascii="Times New Roman" w:eastAsia="Times New Roman" w:hAnsi="Times New Roman" w:cs="Times New Roman"/>
      <w:b/>
      <w:bCs/>
      <w:i/>
      <w:iCs/>
      <w:sz w:val="36"/>
      <w:szCs w:val="24"/>
    </w:rPr>
  </w:style>
  <w:style w:type="paragraph" w:styleId="2">
    <w:name w:val="Body Text 2"/>
    <w:basedOn w:val="a"/>
    <w:link w:val="20"/>
    <w:unhideWhenUsed/>
    <w:rsid w:val="00212F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12F82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212F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12F82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12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F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4700854700854701E-2"/>
          <c:y val="7.6923076923076983E-2"/>
          <c:w val="0.60000000000000064"/>
          <c:h val="0.7004048582995964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Отличная адаптация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Sheet1!$B$1:$H$1</c:f>
              <c:strCache>
                <c:ptCount val="6"/>
                <c:pt idx="0">
                  <c:v>21 чел.</c:v>
                </c:pt>
                <c:pt idx="2">
                  <c:v>14 чел.</c:v>
                </c:pt>
                <c:pt idx="4">
                  <c:v>3 чел.</c:v>
                </c:pt>
                <c:pt idx="5">
                  <c:v>2 чел.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6"/>
                <c:pt idx="0">
                  <c:v>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Хороша яадаптация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Sheet1!$B$1:$H$1</c:f>
              <c:strCache>
                <c:ptCount val="6"/>
                <c:pt idx="0">
                  <c:v>21 чел.</c:v>
                </c:pt>
                <c:pt idx="2">
                  <c:v>14 чел.</c:v>
                </c:pt>
                <c:pt idx="4">
                  <c:v>3 чел.</c:v>
                </c:pt>
                <c:pt idx="5">
                  <c:v>2 чел.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6"/>
                <c:pt idx="2">
                  <c:v>14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Адаптированы, но есть проблемы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Sheet1!$B$1:$H$1</c:f>
              <c:strCache>
                <c:ptCount val="6"/>
                <c:pt idx="0">
                  <c:v>21 чел.</c:v>
                </c:pt>
                <c:pt idx="2">
                  <c:v>14 чел.</c:v>
                </c:pt>
                <c:pt idx="4">
                  <c:v>3 чел.</c:v>
                </c:pt>
                <c:pt idx="5">
                  <c:v>2 чел.</c:v>
                </c:pt>
              </c:strCache>
            </c:strRef>
          </c:cat>
          <c:val>
            <c:numRef>
              <c:f>Sheet1!$B$4:$H$4</c:f>
              <c:numCache>
                <c:formatCode>General</c:formatCode>
                <c:ptCount val="6"/>
                <c:pt idx="4">
                  <c:v>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Значительные проблемы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Sheet1!$B$1:$H$1</c:f>
              <c:strCache>
                <c:ptCount val="6"/>
                <c:pt idx="0">
                  <c:v>21 чел.</c:v>
                </c:pt>
                <c:pt idx="2">
                  <c:v>14 чел.</c:v>
                </c:pt>
                <c:pt idx="4">
                  <c:v>3 чел.</c:v>
                </c:pt>
                <c:pt idx="5">
                  <c:v>2 чел.</c:v>
                </c:pt>
              </c:strCache>
            </c:strRef>
          </c:cat>
          <c:val>
            <c:numRef>
              <c:f>Sheet1!$B$5:$H$5</c:f>
              <c:numCache>
                <c:formatCode>General</c:formatCode>
                <c:ptCount val="6"/>
                <c:pt idx="5">
                  <c:v>2</c:v>
                </c:pt>
              </c:numCache>
            </c:numRef>
          </c:val>
        </c:ser>
        <c:gapDepth val="0"/>
        <c:shape val="box"/>
        <c:axId val="57889536"/>
        <c:axId val="57891072"/>
        <c:axId val="0"/>
      </c:bar3DChart>
      <c:catAx>
        <c:axId val="57889536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7891072"/>
        <c:crosses val="autoZero"/>
        <c:auto val="1"/>
        <c:lblAlgn val="ctr"/>
        <c:lblOffset val="100"/>
        <c:tickLblSkip val="1"/>
        <c:tickMarkSkip val="1"/>
      </c:catAx>
      <c:valAx>
        <c:axId val="57891072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7889536"/>
        <c:crosses val="autoZero"/>
        <c:crossBetween val="between"/>
      </c:valAx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7350427350427489"/>
          <c:y val="0.18218623481781399"/>
          <c:w val="0.3196581196581198"/>
          <c:h val="0.63562753036437403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98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5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631578947368432E-2"/>
          <c:y val="7.0796460176991274E-2"/>
          <c:w val="0.62105263157894763"/>
          <c:h val="0.7699115044247797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Отл.ур.</c:v>
                </c:pt>
              </c:strCache>
            </c:strRef>
          </c:tx>
          <c:spPr>
            <a:solidFill>
              <a:srgbClr val="9999FF"/>
            </a:solidFill>
            <a:ln w="12714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4"/>
                <c:pt idx="0">
                  <c:v>5  а</c:v>
                </c:pt>
                <c:pt idx="3">
                  <c:v>5 б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4"/>
                <c:pt idx="0">
                  <c:v>11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Хор.ур.</c:v>
                </c:pt>
              </c:strCache>
            </c:strRef>
          </c:tx>
          <c:spPr>
            <a:solidFill>
              <a:srgbClr val="993366"/>
            </a:solidFill>
            <a:ln w="12714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4"/>
                <c:pt idx="0">
                  <c:v>5  а</c:v>
                </c:pt>
                <c:pt idx="3">
                  <c:v>5 б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4"/>
                <c:pt idx="0">
                  <c:v>8</c:v>
                </c:pt>
                <c:pt idx="3">
                  <c:v>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Адаптированы,но есть проблемы</c:v>
                </c:pt>
              </c:strCache>
            </c:strRef>
          </c:tx>
          <c:spPr>
            <a:solidFill>
              <a:srgbClr val="FFFFCC"/>
            </a:solidFill>
            <a:ln w="12714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4"/>
                <c:pt idx="0">
                  <c:v>5  а</c:v>
                </c:pt>
                <c:pt idx="3">
                  <c:v>5 б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4"/>
                <c:pt idx="0">
                  <c:v>1</c:v>
                </c:pt>
                <c:pt idx="3">
                  <c:v>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Есть значительные проблемы</c:v>
                </c:pt>
              </c:strCache>
            </c:strRef>
          </c:tx>
          <c:spPr>
            <a:solidFill>
              <a:srgbClr val="CCFFFF"/>
            </a:solidFill>
            <a:ln w="12714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4"/>
                <c:pt idx="0">
                  <c:v>5  а</c:v>
                </c:pt>
                <c:pt idx="3">
                  <c:v>5 б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4"/>
                <c:pt idx="0">
                  <c:v>1</c:v>
                </c:pt>
                <c:pt idx="3">
                  <c:v>1</c:v>
                </c:pt>
              </c:numCache>
            </c:numRef>
          </c:val>
        </c:ser>
        <c:gapDepth val="0"/>
        <c:shape val="box"/>
        <c:axId val="58671872"/>
        <c:axId val="58673408"/>
        <c:axId val="0"/>
      </c:bar3DChart>
      <c:catAx>
        <c:axId val="58671872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1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673408"/>
        <c:crosses val="autoZero"/>
        <c:auto val="1"/>
        <c:lblAlgn val="ctr"/>
        <c:lblOffset val="100"/>
        <c:tickLblSkip val="1"/>
        <c:tickMarkSkip val="1"/>
      </c:catAx>
      <c:valAx>
        <c:axId val="58673408"/>
        <c:scaling>
          <c:orientation val="minMax"/>
        </c:scaling>
        <c:axPos val="l"/>
        <c:majorGridlines>
          <c:spPr>
            <a:ln w="317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1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671872"/>
        <c:crosses val="autoZero"/>
        <c:crossBetween val="between"/>
      </c:valAx>
      <c:spPr>
        <a:noFill/>
        <a:ln w="25429">
          <a:noFill/>
        </a:ln>
      </c:spPr>
    </c:plotArea>
    <c:legend>
      <c:legendPos val="r"/>
      <c:layout>
        <c:manualLayout>
          <c:xMode val="edge"/>
          <c:yMode val="edge"/>
          <c:x val="0.69298245614035092"/>
          <c:y val="0.17256637168141609"/>
          <c:w val="0.30000000000000032"/>
          <c:h val="0.65929203539823089"/>
        </c:manualLayout>
      </c:layout>
      <c:spPr>
        <a:noFill/>
        <a:ln w="3179">
          <a:solidFill>
            <a:srgbClr val="000000"/>
          </a:solidFill>
          <a:prstDash val="solid"/>
        </a:ln>
      </c:spPr>
      <c:txPr>
        <a:bodyPr/>
        <a:lstStyle/>
        <a:p>
          <a:pPr>
            <a:defRPr sz="921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631578947368432E-2"/>
          <c:y val="8.4000000000000047E-2"/>
          <c:w val="0.59210526315789469"/>
          <c:h val="0.6720000000000009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Выс.ур</c:v>
                </c:pt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7"/>
                <c:pt idx="0">
                  <c:v>25 чел.</c:v>
                </c:pt>
                <c:pt idx="2">
                  <c:v>12 чел.</c:v>
                </c:pt>
                <c:pt idx="4">
                  <c:v>2 чел.</c:v>
                </c:pt>
                <c:pt idx="6">
                  <c:v>1 чел.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7"/>
                <c:pt idx="0">
                  <c:v>25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Хор.ур.</c:v>
                </c:pt>
              </c:strCache>
            </c:strRef>
          </c:tx>
          <c:spPr>
            <a:solidFill>
              <a:srgbClr val="993366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7"/>
                <c:pt idx="0">
                  <c:v>25 чел.</c:v>
                </c:pt>
                <c:pt idx="2">
                  <c:v>12 чел.</c:v>
                </c:pt>
                <c:pt idx="4">
                  <c:v>2 чел.</c:v>
                </c:pt>
                <c:pt idx="6">
                  <c:v>1 чел.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7"/>
                <c:pt idx="2">
                  <c:v>12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Школа интересует лишь внеш. Сторонами</c:v>
                </c:pt>
              </c:strCache>
            </c:strRef>
          </c:tx>
          <c:spPr>
            <a:solidFill>
              <a:srgbClr val="FFFFCC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7"/>
                <c:pt idx="0">
                  <c:v>25 чел.</c:v>
                </c:pt>
                <c:pt idx="2">
                  <c:v>12 чел.</c:v>
                </c:pt>
                <c:pt idx="4">
                  <c:v>2 чел.</c:v>
                </c:pt>
                <c:pt idx="6">
                  <c:v>1 чел.</c:v>
                </c:pt>
              </c:strCache>
            </c:strRef>
          </c:cat>
          <c:val>
            <c:numRef>
              <c:f>Sheet1!$B$4:$I$4</c:f>
              <c:numCache>
                <c:formatCode>General</c:formatCode>
                <c:ptCount val="7"/>
                <c:pt idx="4">
                  <c:v>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Низ.ур.</c:v>
                </c:pt>
              </c:strCache>
            </c:strRef>
          </c:tx>
          <c:spPr>
            <a:solidFill>
              <a:srgbClr val="CCFFFF"/>
            </a:solidFill>
            <a:ln w="12703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7"/>
                <c:pt idx="0">
                  <c:v>25 чел.</c:v>
                </c:pt>
                <c:pt idx="2">
                  <c:v>12 чел.</c:v>
                </c:pt>
                <c:pt idx="4">
                  <c:v>2 чел.</c:v>
                </c:pt>
                <c:pt idx="6">
                  <c:v>1 чел.</c:v>
                </c:pt>
              </c:strCache>
            </c:strRef>
          </c:cat>
          <c:val>
            <c:numRef>
              <c:f>Sheet1!$B$5:$I$5</c:f>
              <c:numCache>
                <c:formatCode>General</c:formatCode>
                <c:ptCount val="7"/>
                <c:pt idx="6">
                  <c:v>1</c:v>
                </c:pt>
              </c:numCache>
            </c:numRef>
          </c:val>
        </c:ser>
        <c:gapDepth val="0"/>
        <c:shape val="box"/>
        <c:axId val="58425728"/>
        <c:axId val="58427264"/>
        <c:axId val="0"/>
      </c:bar3DChart>
      <c:catAx>
        <c:axId val="58425728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427264"/>
        <c:crosses val="autoZero"/>
        <c:auto val="1"/>
        <c:lblAlgn val="ctr"/>
        <c:lblOffset val="100"/>
        <c:tickLblSkip val="1"/>
        <c:tickMarkSkip val="1"/>
      </c:catAx>
      <c:valAx>
        <c:axId val="58427264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425728"/>
        <c:crosses val="autoZero"/>
        <c:crossBetween val="between"/>
      </c:valAx>
      <c:spPr>
        <a:noFill/>
        <a:ln w="25405">
          <a:noFill/>
        </a:ln>
      </c:spPr>
    </c:plotArea>
    <c:legend>
      <c:legendPos val="r"/>
      <c:layout>
        <c:manualLayout>
          <c:xMode val="edge"/>
          <c:yMode val="edge"/>
          <c:x val="0.66282894736842246"/>
          <c:y val="0.17200000000000001"/>
          <c:w val="0.33059210526315835"/>
          <c:h val="0.66000000000000092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59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387205387205387E-2"/>
          <c:y val="8.2031250000000014E-2"/>
          <c:w val="0.63468013468013573"/>
          <c:h val="0.757812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Выс.ур.</c:v>
                </c:pt>
              </c:strCache>
            </c:strRef>
          </c:tx>
          <c:spPr>
            <a:solidFill>
              <a:srgbClr val="9999FF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4"/>
                <c:pt idx="0">
                  <c:v>5 а</c:v>
                </c:pt>
                <c:pt idx="3">
                  <c:v>5 б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6"/>
                <c:pt idx="0">
                  <c:v>14</c:v>
                </c:pt>
                <c:pt idx="3">
                  <c:v>11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Хор.ур.</c:v>
                </c:pt>
              </c:strCache>
            </c:strRef>
          </c:tx>
          <c:spPr>
            <a:solidFill>
              <a:srgbClr val="993366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4"/>
                <c:pt idx="0">
                  <c:v>5 а</c:v>
                </c:pt>
                <c:pt idx="3">
                  <c:v>5 б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6"/>
                <c:pt idx="0">
                  <c:v>5</c:v>
                </c:pt>
                <c:pt idx="3">
                  <c:v>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Школа привл. лишь внеш. сторонами</c:v>
                </c:pt>
              </c:strCache>
            </c:strRef>
          </c:tx>
          <c:spPr>
            <a:solidFill>
              <a:srgbClr val="FFFFCC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4"/>
                <c:pt idx="0">
                  <c:v>5 а</c:v>
                </c:pt>
                <c:pt idx="3">
                  <c:v>5 б</c:v>
                </c:pt>
              </c:strCache>
            </c:strRef>
          </c:cat>
          <c:val>
            <c:numRef>
              <c:f>Sheet1!$B$4:$I$4</c:f>
              <c:numCache>
                <c:formatCode>General</c:formatCode>
                <c:ptCount val="6"/>
                <c:pt idx="0">
                  <c:v>1</c:v>
                </c:pt>
                <c:pt idx="3">
                  <c:v>1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Низ.ур.</c:v>
                </c:pt>
              </c:strCache>
            </c:strRef>
          </c:tx>
          <c:spPr>
            <a:solidFill>
              <a:srgbClr val="CCFFFF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4"/>
                <c:pt idx="0">
                  <c:v>5 а</c:v>
                </c:pt>
                <c:pt idx="3">
                  <c:v>5 б</c:v>
                </c:pt>
              </c:strCache>
            </c:strRef>
          </c:cat>
          <c:val>
            <c:numRef>
              <c:f>Sheet1!$B$5:$I$5</c:f>
              <c:numCache>
                <c:formatCode>General</c:formatCode>
                <c:ptCount val="6"/>
                <c:pt idx="0">
                  <c:v>1</c:v>
                </c:pt>
                <c:pt idx="3">
                  <c:v>0</c:v>
                </c:pt>
              </c:numCache>
            </c:numRef>
          </c:val>
        </c:ser>
        <c:gapDepth val="0"/>
        <c:shape val="box"/>
        <c:axId val="58454016"/>
        <c:axId val="58455552"/>
        <c:axId val="0"/>
      </c:bar3DChart>
      <c:catAx>
        <c:axId val="58454016"/>
        <c:scaling>
          <c:orientation val="minMax"/>
        </c:scaling>
        <c:axPos val="b"/>
        <c:numFmt formatCode="General" sourceLinked="1"/>
        <c:tickLblPos val="low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455552"/>
        <c:crosses val="autoZero"/>
        <c:auto val="1"/>
        <c:lblAlgn val="ctr"/>
        <c:lblOffset val="100"/>
        <c:tickLblSkip val="1"/>
        <c:tickMarkSkip val="1"/>
      </c:catAx>
      <c:valAx>
        <c:axId val="58455552"/>
        <c:scaling>
          <c:orientation val="minMax"/>
        </c:scaling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454016"/>
        <c:crosses val="autoZero"/>
        <c:crossBetween val="between"/>
      </c:valAx>
      <c:spPr>
        <a:noFill/>
        <a:ln w="25413">
          <a:noFill/>
        </a:ln>
      </c:spPr>
    </c:plotArea>
    <c:legend>
      <c:legendPos val="r"/>
      <c:layout>
        <c:manualLayout>
          <c:xMode val="edge"/>
          <c:yMode val="edge"/>
          <c:x val="0.70707070707070763"/>
          <c:y val="0.1796875"/>
          <c:w val="0.28619528619528617"/>
          <c:h val="0.64453125000000078"/>
        </c:manualLayout>
      </c:layout>
      <c:spPr>
        <a:noFill/>
        <a:ln w="3177">
          <a:solidFill>
            <a:srgbClr val="000000"/>
          </a:solidFill>
          <a:prstDash val="solid"/>
        </a:ln>
      </c:spPr>
      <c:txPr>
        <a:bodyPr/>
        <a:lstStyle/>
        <a:p>
          <a:pPr>
            <a:defRPr sz="1036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1966</Characters>
  <Application>Microsoft Office Word</Application>
  <DocSecurity>0</DocSecurity>
  <Lines>16</Lines>
  <Paragraphs>4</Paragraphs>
  <ScaleCrop>false</ScaleCrop>
  <Company>МБОУ БСОШ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Краева</dc:creator>
  <cp:keywords/>
  <dc:description/>
  <cp:lastModifiedBy>И.Н. Краева</cp:lastModifiedBy>
  <cp:revision>5</cp:revision>
  <dcterms:created xsi:type="dcterms:W3CDTF">2013-01-28T10:01:00Z</dcterms:created>
  <dcterms:modified xsi:type="dcterms:W3CDTF">2013-02-19T11:24:00Z</dcterms:modified>
</cp:coreProperties>
</file>